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Liam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us calls out the men who stole his goats, but the men want to jill him, and </w:t>
      </w:r>
      <w:r>
        <w:rPr>
          <w:rFonts w:ascii="Helvetica"/>
          <w:i w:val="1"/>
          <w:iCs w:val="1"/>
          <w:sz w:val="24"/>
          <w:szCs w:val="24"/>
          <w:rtl w:val="0"/>
          <w:lang w:val="it-IT"/>
        </w:rPr>
        <w:t>Liam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us must flee for his life.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Liamus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nt et nunc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unus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rum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mortuum esse! currite ad eum!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ad Liamum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nt, et Liamus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Liamus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curre! curre!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capellus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balalala!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sed capellus quoque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rrit.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Liamus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celeriter 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rrit, sed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quoque celeriter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rer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unt. mox Liamus fessus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sed deinde, aquam 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Liamus ad aquam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navis parva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nave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t puer et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—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Liamus quoque Ninam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t! Liamus ad navem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! 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ad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currunt!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i w:val="1"/>
          <w:iCs w:val="1"/>
          <w:sz w:val="26"/>
          <w:szCs w:val="26"/>
          <w:rtl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video, vid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vidi - </w:t>
      </w:r>
      <w:r>
        <w:rPr>
          <w:rFonts w:ascii="Helvetica"/>
          <w:sz w:val="24"/>
          <w:szCs w:val="24"/>
          <w:rtl w:val="0"/>
          <w:lang w:val="en-US"/>
        </w:rPr>
        <w:t>to see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festino,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hurry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unus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one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territus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terrified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celeriter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lent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ē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A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